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9A" w:rsidRDefault="00A6609A" w:rsidP="00A6609A">
      <w:pPr>
        <w:ind w:left="-284" w:right="261"/>
        <w:jc w:val="both"/>
        <w:rPr>
          <w:rFonts w:ascii="Arial" w:hAnsi="Arial" w:cs="Arial"/>
          <w:i/>
          <w:sz w:val="22"/>
          <w:szCs w:val="22"/>
          <w:lang w:val="en-GB"/>
        </w:rPr>
      </w:pPr>
      <w:bookmarkStart w:id="0" w:name="_GoBack"/>
      <w:bookmarkEnd w:id="0"/>
    </w:p>
    <w:p w:rsidR="00A6609A" w:rsidRPr="004E0ED8" w:rsidRDefault="004E0ED8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 w:rsidRPr="004E0ED8">
        <w:rPr>
          <w:rFonts w:eastAsia="Calibri"/>
          <w:b/>
          <w:bCs/>
          <w:iCs/>
          <w:sz w:val="28"/>
          <w:szCs w:val="28"/>
        </w:rPr>
        <w:t>Manchester Growth Company</w:t>
      </w:r>
    </w:p>
    <w:p w:rsidR="004E0ED8" w:rsidRDefault="00E751E0" w:rsidP="004E0ED8">
      <w:pPr>
        <w:pStyle w:val="Body"/>
        <w:ind w:right="261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Role Profile</w:t>
      </w:r>
    </w:p>
    <w:p w:rsidR="00AE6949" w:rsidRPr="004603DC" w:rsidRDefault="00AE6949" w:rsidP="004E0ED8">
      <w:pPr>
        <w:pStyle w:val="Body"/>
        <w:ind w:right="261"/>
        <w:jc w:val="center"/>
        <w:rPr>
          <w:rFonts w:eastAsia="Calibri"/>
          <w:b/>
          <w:bCs/>
          <w:iCs/>
          <w:szCs w:val="28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485"/>
        <w:gridCol w:w="3044"/>
        <w:gridCol w:w="1985"/>
        <w:gridCol w:w="2835"/>
      </w:tblGrid>
      <w:tr w:rsidR="00AE6949" w:rsidTr="00AE6949">
        <w:tc>
          <w:tcPr>
            <w:tcW w:w="24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Job Title:</w:t>
            </w:r>
          </w:p>
        </w:tc>
        <w:tc>
          <w:tcPr>
            <w:tcW w:w="3044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Digital Creative and Technology Team Leader</w:t>
            </w:r>
          </w:p>
        </w:tc>
        <w:tc>
          <w:tcPr>
            <w:tcW w:w="19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Date:</w:t>
            </w:r>
          </w:p>
        </w:tc>
        <w:tc>
          <w:tcPr>
            <w:tcW w:w="283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21 September 2015</w:t>
            </w:r>
          </w:p>
        </w:tc>
      </w:tr>
      <w:tr w:rsidR="00AE6949" w:rsidTr="00AE6949">
        <w:trPr>
          <w:trHeight w:val="520"/>
        </w:trPr>
        <w:tc>
          <w:tcPr>
            <w:tcW w:w="24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Reporting Line:</w:t>
            </w:r>
          </w:p>
        </w:tc>
        <w:tc>
          <w:tcPr>
            <w:tcW w:w="3044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Digital Growth Manager</w:t>
            </w:r>
          </w:p>
        </w:tc>
        <w:tc>
          <w:tcPr>
            <w:tcW w:w="19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Job Level:</w:t>
            </w:r>
          </w:p>
        </w:tc>
        <w:tc>
          <w:tcPr>
            <w:tcW w:w="2835" w:type="dxa"/>
            <w:vAlign w:val="center"/>
          </w:tcPr>
          <w:p w:rsidR="00AE6949" w:rsidRPr="0076181B" w:rsidRDefault="00D64461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14</w:t>
            </w:r>
          </w:p>
        </w:tc>
      </w:tr>
      <w:tr w:rsidR="00AE6949" w:rsidTr="00AE6949">
        <w:tc>
          <w:tcPr>
            <w:tcW w:w="24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Department:</w:t>
            </w:r>
          </w:p>
        </w:tc>
        <w:tc>
          <w:tcPr>
            <w:tcW w:w="3044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Business Growth Hub</w:t>
            </w:r>
          </w:p>
        </w:tc>
        <w:tc>
          <w:tcPr>
            <w:tcW w:w="198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/>
                <w:bCs/>
                <w:iCs/>
              </w:rPr>
            </w:pPr>
            <w:r w:rsidRPr="0076181B">
              <w:rPr>
                <w:rFonts w:eastAsia="Calibri"/>
                <w:b/>
                <w:bCs/>
                <w:iCs/>
              </w:rPr>
              <w:t>Business Area:</w:t>
            </w:r>
          </w:p>
        </w:tc>
        <w:tc>
          <w:tcPr>
            <w:tcW w:w="2835" w:type="dxa"/>
            <w:vAlign w:val="center"/>
          </w:tcPr>
          <w:p w:rsidR="00AE6949" w:rsidRPr="0076181B" w:rsidRDefault="00AE6949" w:rsidP="005742A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61"/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>BSBF</w:t>
            </w:r>
          </w:p>
        </w:tc>
      </w:tr>
    </w:tbl>
    <w:p w:rsidR="004E0ED8" w:rsidRPr="004603DC" w:rsidRDefault="004E0ED8" w:rsidP="00AE6949">
      <w:pPr>
        <w:pStyle w:val="Body"/>
        <w:ind w:right="261"/>
        <w:jc w:val="both"/>
        <w:rPr>
          <w:rFonts w:eastAsia="Calibri"/>
          <w:b/>
          <w:bCs/>
          <w:i/>
          <w:iCs/>
          <w:sz w:val="10"/>
        </w:rPr>
      </w:pPr>
    </w:p>
    <w:tbl>
      <w:tblPr>
        <w:tblW w:w="10356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237C6B" w:rsidTr="00E942DE">
        <w:trPr>
          <w:trHeight w:val="180"/>
        </w:trPr>
        <w:tc>
          <w:tcPr>
            <w:tcW w:w="10356" w:type="dxa"/>
            <w:tcBorders>
              <w:top w:val="single" w:sz="6" w:space="0" w:color="000000"/>
              <w:left w:val="single" w:sz="6" w:space="0" w:color="0000FF"/>
              <w:bottom w:val="nil"/>
              <w:right w:val="single" w:sz="6" w:space="0" w:color="0000FF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E942DE">
            <w:pPr>
              <w:pStyle w:val="Heading3"/>
              <w:ind w:left="142" w:right="261"/>
              <w:jc w:val="both"/>
              <w:rPr>
                <w:sz w:val="22"/>
                <w:szCs w:val="22"/>
                <w:lang w:val="en-GB"/>
              </w:rPr>
            </w:pPr>
            <w:r w:rsidRPr="00237C6B">
              <w:rPr>
                <w:rFonts w:eastAsia="Calibri"/>
                <w:sz w:val="22"/>
                <w:szCs w:val="22"/>
                <w:lang w:val="en-GB"/>
              </w:rPr>
              <w:t>JOB PURPOSE</w:t>
            </w:r>
          </w:p>
        </w:tc>
      </w:tr>
      <w:tr w:rsidR="00A6609A" w:rsidRPr="00237C6B" w:rsidTr="00E942DE">
        <w:trPr>
          <w:trHeight w:val="180"/>
        </w:trPr>
        <w:tc>
          <w:tcPr>
            <w:tcW w:w="1035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AE6949" w:rsidRDefault="00A94154" w:rsidP="00AE6949">
            <w:pPr>
              <w:ind w:left="142" w:right="261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E6949">
              <w:rPr>
                <w:rFonts w:ascii="Arial" w:hAnsi="Arial" w:cs="Arial"/>
                <w:sz w:val="22"/>
                <w:szCs w:val="22"/>
              </w:rPr>
              <w:t xml:space="preserve">To support </w:t>
            </w:r>
            <w:r w:rsidR="0088473A" w:rsidRPr="00AE6949">
              <w:rPr>
                <w:rFonts w:ascii="Arial" w:hAnsi="Arial" w:cs="Arial"/>
                <w:sz w:val="22"/>
                <w:szCs w:val="22"/>
              </w:rPr>
              <w:t>and deliver</w:t>
            </w:r>
            <w:r w:rsidRPr="00AE6949">
              <w:rPr>
                <w:rFonts w:ascii="Arial" w:hAnsi="Arial" w:cs="Arial"/>
                <w:sz w:val="22"/>
                <w:szCs w:val="22"/>
              </w:rPr>
              <w:t xml:space="preserve"> high quality advice to Creative Digital and </w:t>
            </w:r>
            <w:r w:rsidR="001F1419" w:rsidRPr="00AE6949">
              <w:rPr>
                <w:rFonts w:ascii="Arial" w:hAnsi="Arial" w:cs="Arial"/>
                <w:sz w:val="22"/>
                <w:szCs w:val="22"/>
              </w:rPr>
              <w:t>T</w:t>
            </w:r>
            <w:r w:rsidRPr="00AE6949">
              <w:rPr>
                <w:rFonts w:ascii="Arial" w:hAnsi="Arial" w:cs="Arial"/>
                <w:sz w:val="22"/>
                <w:szCs w:val="22"/>
              </w:rPr>
              <w:t>echnology companies, in line with int</w:t>
            </w:r>
            <w:r w:rsidR="00AE6949">
              <w:rPr>
                <w:rFonts w:ascii="Arial" w:hAnsi="Arial" w:cs="Arial"/>
                <w:sz w:val="22"/>
                <w:szCs w:val="22"/>
              </w:rPr>
              <w:t>ernal and external requirements. This role involves</w:t>
            </w:r>
            <w:r w:rsidRPr="00AE6949">
              <w:rPr>
                <w:rFonts w:ascii="Arial" w:hAnsi="Arial" w:cs="Arial"/>
                <w:sz w:val="22"/>
                <w:szCs w:val="22"/>
              </w:rPr>
              <w:t xml:space="preserve"> ensuring</w:t>
            </w:r>
            <w:r w:rsidR="00AE6949" w:rsidRPr="00AE6949">
              <w:rPr>
                <w:rFonts w:ascii="Arial" w:hAnsi="Arial" w:cs="Arial"/>
                <w:sz w:val="22"/>
                <w:szCs w:val="22"/>
              </w:rPr>
              <w:t xml:space="preserve"> that t</w:t>
            </w:r>
            <w:r w:rsidRPr="00AE6949">
              <w:rPr>
                <w:rFonts w:ascii="Arial" w:hAnsi="Arial" w:cs="Arial"/>
                <w:sz w:val="22"/>
                <w:szCs w:val="22"/>
              </w:rPr>
              <w:t xml:space="preserve">he services delivered have maximum impact for the growth potential of client companies, supporting Greater Manchester to benefit from </w:t>
            </w:r>
            <w:r w:rsidR="00AE6949">
              <w:rPr>
                <w:rFonts w:ascii="Arial" w:hAnsi="Arial" w:cs="Arial"/>
                <w:sz w:val="22"/>
                <w:szCs w:val="22"/>
              </w:rPr>
              <w:t xml:space="preserve">these high growth sectors It also requires </w:t>
            </w:r>
            <w:r w:rsidR="00AE6949" w:rsidRPr="00AE6949">
              <w:rPr>
                <w:rFonts w:ascii="Arial" w:hAnsi="Arial" w:cs="Arial"/>
                <w:sz w:val="22"/>
                <w:szCs w:val="22"/>
              </w:rPr>
              <w:t>that t</w:t>
            </w:r>
            <w:r w:rsidR="0088473A" w:rsidRPr="00AE6949">
              <w:rPr>
                <w:rFonts w:ascii="Arial" w:hAnsi="Arial" w:cs="Arial"/>
                <w:sz w:val="22"/>
                <w:szCs w:val="22"/>
              </w:rPr>
              <w:t xml:space="preserve">hat any risks to project delivery are identified and </w:t>
            </w:r>
            <w:r w:rsidR="00AE6949">
              <w:rPr>
                <w:rFonts w:ascii="Arial" w:hAnsi="Arial" w:cs="Arial"/>
                <w:sz w:val="22"/>
                <w:szCs w:val="22"/>
              </w:rPr>
              <w:t>as far as practicable mitigated and t</w:t>
            </w:r>
            <w:r w:rsidR="0088473A" w:rsidRPr="00AE694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hat the DCT </w:t>
            </w:r>
            <w:r w:rsidR="001F1419" w:rsidRPr="00AE6949">
              <w:rPr>
                <w:rFonts w:ascii="Arial" w:hAnsi="Arial" w:cs="Arial"/>
                <w:bCs/>
                <w:iCs/>
                <w:sz w:val="22"/>
                <w:szCs w:val="22"/>
              </w:rPr>
              <w:t>teams’</w:t>
            </w:r>
            <w:r w:rsidR="0088473A" w:rsidRPr="00AE6949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88473A" w:rsidRPr="00AE6949">
              <w:rPr>
                <w:rFonts w:ascii="Arial" w:hAnsi="Arial" w:cs="Arial"/>
                <w:sz w:val="22"/>
                <w:szCs w:val="22"/>
              </w:rPr>
              <w:t>results are in line with the agreed targets.</w:t>
            </w:r>
          </w:p>
        </w:tc>
      </w:tr>
    </w:tbl>
    <w:p w:rsidR="00A6609A" w:rsidRPr="004603DC" w:rsidRDefault="00A6609A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  <w:sz w:val="10"/>
        </w:rPr>
      </w:pPr>
    </w:p>
    <w:tbl>
      <w:tblPr>
        <w:tblW w:w="10349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237C6B" w:rsidTr="00AE6949">
        <w:trPr>
          <w:trHeight w:val="180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E942DE">
            <w:pPr>
              <w:pStyle w:val="Body"/>
              <w:ind w:left="142"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 xml:space="preserve">KEY RESPONSIBILITIES </w:t>
            </w:r>
          </w:p>
        </w:tc>
      </w:tr>
      <w:tr w:rsidR="00A6609A" w:rsidRPr="00237C6B" w:rsidTr="00AE6949">
        <w:trPr>
          <w:trHeight w:val="180"/>
        </w:trPr>
        <w:tc>
          <w:tcPr>
            <w:tcW w:w="1034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45E0" w:rsidRPr="001133EC" w:rsidRDefault="006D45E0" w:rsidP="00AE6949">
            <w:pPr>
              <w:pStyle w:val="ListParagraph"/>
              <w:numPr>
                <w:ilvl w:val="0"/>
                <w:numId w:val="17"/>
              </w:numPr>
              <w:spacing w:before="120"/>
              <w:ind w:left="488" w:right="210" w:hanging="426"/>
              <w:rPr>
                <w:lang w:val="en-GB"/>
              </w:rPr>
            </w:pPr>
            <w:r w:rsidRPr="001133EC">
              <w:rPr>
                <w:lang w:val="en-GB"/>
              </w:rPr>
              <w:t xml:space="preserve">Keep up to date with developments in </w:t>
            </w:r>
            <w:r>
              <w:rPr>
                <w:lang w:val="en-GB"/>
              </w:rPr>
              <w:t>DCT</w:t>
            </w:r>
            <w:r w:rsidRPr="001133EC">
              <w:rPr>
                <w:lang w:val="en-GB"/>
              </w:rPr>
              <w:t xml:space="preserve"> sector issues to ensure support services are relevant and aligned to business need and growth opportunities. </w:t>
            </w:r>
          </w:p>
          <w:p w:rsidR="006D45E0" w:rsidRPr="001133EC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right="210" w:hanging="426"/>
              <w:rPr>
                <w:lang w:val="en-GB"/>
              </w:rPr>
            </w:pPr>
            <w:r w:rsidRPr="001133EC">
              <w:rPr>
                <w:lang w:val="en-GB"/>
              </w:rPr>
              <w:t>Support the development and delivery of support services, including appropriate tools and resources, targeted at helping businesses to improve productivity, profitability,</w:t>
            </w:r>
            <w:r>
              <w:rPr>
                <w:lang w:val="en-GB"/>
              </w:rPr>
              <w:t xml:space="preserve"> competitiveness and resilience.</w:t>
            </w:r>
          </w:p>
          <w:p w:rsidR="006D45E0" w:rsidRPr="001133EC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 w:rsidRPr="001133EC">
              <w:rPr>
                <w:lang w:val="en-GB"/>
              </w:rPr>
              <w:t xml:space="preserve">Line management of a team of professional </w:t>
            </w:r>
            <w:r>
              <w:rPr>
                <w:lang w:val="en-GB"/>
              </w:rPr>
              <w:t xml:space="preserve">DCT </w:t>
            </w:r>
            <w:r w:rsidRPr="001133EC">
              <w:rPr>
                <w:lang w:val="en-GB"/>
              </w:rPr>
              <w:t xml:space="preserve">business advisors, ensuring services are targeted and tailored to business need, deliver against contractual obligations and to an appropriate level of return on investment. </w:t>
            </w:r>
          </w:p>
          <w:p w:rsidR="006D45E0" w:rsidRPr="001133EC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 w:rsidRPr="001133EC">
              <w:rPr>
                <w:lang w:val="en-GB"/>
              </w:rPr>
              <w:t xml:space="preserve">Support in managing external, sub-contracted </w:t>
            </w:r>
            <w:r>
              <w:rPr>
                <w:lang w:val="en-GB"/>
              </w:rPr>
              <w:t xml:space="preserve">and Partner </w:t>
            </w:r>
            <w:r w:rsidRPr="001133EC">
              <w:rPr>
                <w:lang w:val="en-GB"/>
              </w:rPr>
              <w:t xml:space="preserve">services contributing to </w:t>
            </w:r>
            <w:r w:rsidR="001F1419">
              <w:rPr>
                <w:lang w:val="en-GB"/>
              </w:rPr>
              <w:t xml:space="preserve">the </w:t>
            </w:r>
            <w:r w:rsidRPr="001133EC">
              <w:rPr>
                <w:lang w:val="en-GB"/>
              </w:rPr>
              <w:t>delivery of business advice, ensuring appropriate deployment and utilization according to project and client need.</w:t>
            </w:r>
          </w:p>
          <w:p w:rsidR="006D45E0" w:rsidRPr="001133EC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 w:rsidRPr="001133EC">
              <w:rPr>
                <w:lang w:val="en-GB"/>
              </w:rPr>
              <w:t xml:space="preserve">Provision of information, advice and support service to businesses in, or diversifying into, the </w:t>
            </w:r>
            <w:r>
              <w:rPr>
                <w:lang w:val="en-GB"/>
              </w:rPr>
              <w:t>Digital Creative and Tech</w:t>
            </w:r>
            <w:r w:rsidRPr="001133EC">
              <w:rPr>
                <w:lang w:val="en-GB"/>
              </w:rPr>
              <w:t xml:space="preserve"> sector</w:t>
            </w:r>
            <w:r>
              <w:rPr>
                <w:lang w:val="en-GB"/>
              </w:rPr>
              <w:t>s</w:t>
            </w:r>
            <w:r w:rsidRPr="001133EC">
              <w:rPr>
                <w:lang w:val="en-GB"/>
              </w:rPr>
              <w:t xml:space="preserve"> to maximize growth potential. </w:t>
            </w:r>
          </w:p>
          <w:p w:rsidR="006D45E0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 w:rsidRPr="001133EC">
              <w:rPr>
                <w:lang w:val="en-GB"/>
              </w:rPr>
              <w:t>Support quality assurance, monitoring and reporting of team performance and progress against contractual targets and budgets and wider company requirements, including integration with the BGH</w:t>
            </w:r>
            <w:r w:rsidR="00790A66">
              <w:rPr>
                <w:lang w:val="en-GB"/>
              </w:rPr>
              <w:t xml:space="preserve"> and across the Group.</w:t>
            </w:r>
          </w:p>
          <w:p w:rsidR="0041064C" w:rsidRDefault="0041064C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>
              <w:rPr>
                <w:lang w:val="en-GB"/>
              </w:rPr>
              <w:t>Work with the DCT project Partners, as well as key stake</w:t>
            </w:r>
            <w:r w:rsidR="00BE0417">
              <w:rPr>
                <w:lang w:val="en-GB"/>
              </w:rPr>
              <w:t>holders</w:t>
            </w:r>
            <w:r>
              <w:rPr>
                <w:lang w:val="en-GB"/>
              </w:rPr>
              <w:t xml:space="preserve"> to unsure DCT clients get an exemplar service.</w:t>
            </w:r>
          </w:p>
          <w:p w:rsidR="00A6609A" w:rsidRPr="0041064C" w:rsidRDefault="006D45E0" w:rsidP="00AE6949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ind w:left="488" w:hanging="426"/>
              <w:rPr>
                <w:lang w:val="en-GB"/>
              </w:rPr>
            </w:pPr>
            <w:r w:rsidRPr="006D45E0">
              <w:rPr>
                <w:lang w:val="en-GB"/>
              </w:rPr>
              <w:t xml:space="preserve">To maximise the </w:t>
            </w:r>
            <w:r w:rsidR="001D5CFA">
              <w:rPr>
                <w:lang w:val="en-GB"/>
              </w:rPr>
              <w:t xml:space="preserve">service </w:t>
            </w:r>
            <w:r w:rsidRPr="006D45E0">
              <w:rPr>
                <w:lang w:val="en-GB"/>
              </w:rPr>
              <w:t>impact on growth with</w:t>
            </w:r>
            <w:r w:rsidR="001D5CFA">
              <w:rPr>
                <w:lang w:val="en-GB"/>
              </w:rPr>
              <w:t>in</w:t>
            </w:r>
            <w:r w:rsidRPr="006D45E0">
              <w:rPr>
                <w:lang w:val="en-GB"/>
              </w:rPr>
              <w:t xml:space="preserve"> a wide range of </w:t>
            </w:r>
            <w:r w:rsidR="0041064C">
              <w:rPr>
                <w:lang w:val="en-GB"/>
              </w:rPr>
              <w:t xml:space="preserve">DCT </w:t>
            </w:r>
            <w:r w:rsidRPr="006D45E0">
              <w:rPr>
                <w:lang w:val="en-GB"/>
              </w:rPr>
              <w:t xml:space="preserve">clients, so contributing to the development of a </w:t>
            </w:r>
            <w:r w:rsidR="0041064C">
              <w:rPr>
                <w:lang w:val="en-GB"/>
              </w:rPr>
              <w:t>robust DCT cluster of SMEs</w:t>
            </w:r>
            <w:r w:rsidR="001D5CFA">
              <w:rPr>
                <w:lang w:val="en-GB"/>
              </w:rPr>
              <w:t xml:space="preserve"> in Greater Manchester.</w:t>
            </w:r>
          </w:p>
        </w:tc>
      </w:tr>
    </w:tbl>
    <w:p w:rsidR="00A6609A" w:rsidRPr="004603DC" w:rsidRDefault="00A6609A" w:rsidP="00A6609A">
      <w:pPr>
        <w:pStyle w:val="Body"/>
        <w:ind w:left="142" w:right="261" w:hanging="108"/>
        <w:jc w:val="both"/>
        <w:rPr>
          <w:rFonts w:eastAsia="Calibri"/>
          <w:b/>
          <w:bCs/>
          <w:i/>
          <w:iCs/>
          <w:sz w:val="12"/>
        </w:rPr>
      </w:pPr>
    </w:p>
    <w:tbl>
      <w:tblPr>
        <w:tblW w:w="10356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6"/>
      </w:tblGrid>
      <w:tr w:rsidR="00A6609A" w:rsidRPr="00237C6B" w:rsidTr="00E942DE">
        <w:trPr>
          <w:trHeight w:val="180"/>
        </w:trPr>
        <w:tc>
          <w:tcPr>
            <w:tcW w:w="10356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E942DE">
            <w:pPr>
              <w:pStyle w:val="Body"/>
              <w:ind w:left="142" w:right="261"/>
              <w:jc w:val="both"/>
            </w:pPr>
            <w:r w:rsidRPr="00237C6B">
              <w:rPr>
                <w:rFonts w:eastAsia="Calibri"/>
                <w:b/>
                <w:bCs/>
                <w:i/>
                <w:iCs/>
              </w:rPr>
              <w:br w:type="page"/>
            </w: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DIMENSIONS</w:t>
            </w:r>
          </w:p>
        </w:tc>
      </w:tr>
      <w:tr w:rsidR="00A6609A" w:rsidRPr="00237C6B" w:rsidTr="00E942DE">
        <w:trPr>
          <w:trHeight w:val="180"/>
        </w:trPr>
        <w:tc>
          <w:tcPr>
            <w:tcW w:w="10356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41064C" w:rsidRPr="00BE0417" w:rsidRDefault="0041064C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 w:rsidRPr="00BE0417">
              <w:rPr>
                <w:lang w:val="en-GB"/>
              </w:rPr>
              <w:t xml:space="preserve">Directly supporting the ambition set out in the Greater Manchester Strategy refresh to seize the growth potential of </w:t>
            </w:r>
            <w:r w:rsidR="00882C90">
              <w:rPr>
                <w:lang w:val="en-GB"/>
              </w:rPr>
              <w:t>the DCT sectors</w:t>
            </w:r>
            <w:r w:rsidR="00990FB8">
              <w:rPr>
                <w:lang w:val="en-GB"/>
              </w:rPr>
              <w:t>.</w:t>
            </w:r>
          </w:p>
          <w:p w:rsidR="0041064C" w:rsidRPr="00BE0417" w:rsidRDefault="0041064C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 w:rsidRPr="00BE0417">
              <w:rPr>
                <w:lang w:val="en-GB"/>
              </w:rPr>
              <w:t xml:space="preserve">Management of a team of </w:t>
            </w:r>
            <w:r w:rsidR="00607A3E">
              <w:rPr>
                <w:lang w:val="en-GB"/>
              </w:rPr>
              <w:t>2</w:t>
            </w:r>
            <w:r w:rsidRPr="00BE0417">
              <w:rPr>
                <w:lang w:val="en-GB"/>
              </w:rPr>
              <w:t xml:space="preserve"> </w:t>
            </w:r>
            <w:r w:rsidR="00607A3E">
              <w:rPr>
                <w:lang w:val="en-GB"/>
              </w:rPr>
              <w:t>DCT</w:t>
            </w:r>
            <w:r w:rsidRPr="00BE0417">
              <w:rPr>
                <w:lang w:val="en-GB"/>
              </w:rPr>
              <w:t xml:space="preserve"> advisors</w:t>
            </w:r>
            <w:r w:rsidR="00990FB8">
              <w:rPr>
                <w:lang w:val="en-GB"/>
              </w:rPr>
              <w:t xml:space="preserve"> and relationship management with the two </w:t>
            </w:r>
            <w:r w:rsidR="002812D4">
              <w:rPr>
                <w:lang w:val="en-GB"/>
              </w:rPr>
              <w:t>delivery</w:t>
            </w:r>
            <w:r w:rsidR="00990FB8">
              <w:rPr>
                <w:lang w:val="en-GB"/>
              </w:rPr>
              <w:t xml:space="preserve"> partners</w:t>
            </w:r>
            <w:r w:rsidR="002812D4">
              <w:rPr>
                <w:lang w:val="en-GB"/>
              </w:rPr>
              <w:t>.</w:t>
            </w:r>
          </w:p>
          <w:p w:rsidR="0041064C" w:rsidRPr="00882C90" w:rsidRDefault="0041064C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 w:rsidRPr="00BE0417">
              <w:rPr>
                <w:lang w:val="en-GB"/>
              </w:rPr>
              <w:t>Contract budget delegated responsibility for: consultancy bank for provision of additional specialist resources  (£60k); telemarketing for lead generation (£</w:t>
            </w:r>
            <w:r w:rsidR="00607A3E">
              <w:rPr>
                <w:lang w:val="en-GB"/>
              </w:rPr>
              <w:t>18k</w:t>
            </w:r>
            <w:r w:rsidRPr="00BE0417">
              <w:rPr>
                <w:lang w:val="en-GB"/>
              </w:rPr>
              <w:t>)</w:t>
            </w:r>
          </w:p>
          <w:p w:rsidR="0041064C" w:rsidRPr="008E515B" w:rsidRDefault="0041064C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 w:rsidRPr="00BE0417">
              <w:rPr>
                <w:lang w:val="en-GB"/>
              </w:rPr>
              <w:t>Contract deliverables include: ~1</w:t>
            </w:r>
            <w:r w:rsidR="00607A3E">
              <w:rPr>
                <w:lang w:val="en-GB"/>
              </w:rPr>
              <w:t>30 DCT</w:t>
            </w:r>
            <w:r w:rsidR="00F35E22">
              <w:rPr>
                <w:lang w:val="en-GB"/>
              </w:rPr>
              <w:t xml:space="preserve"> business assists &amp;</w:t>
            </w:r>
            <w:r w:rsidR="00607A3E">
              <w:rPr>
                <w:lang w:val="en-GB"/>
              </w:rPr>
              <w:t xml:space="preserve"> creating 20 jobs and increasing annual GVA by £700,000</w:t>
            </w:r>
            <w:r w:rsidRPr="00BE0417">
              <w:rPr>
                <w:lang w:val="en-GB"/>
              </w:rPr>
              <w:t xml:space="preserve">. </w:t>
            </w:r>
          </w:p>
          <w:p w:rsidR="008E515B" w:rsidRDefault="00F35E22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>
              <w:rPr>
                <w:lang w:val="en-GB"/>
              </w:rPr>
              <w:t xml:space="preserve">Relationship management of the </w:t>
            </w:r>
            <w:r w:rsidR="008E515B">
              <w:rPr>
                <w:lang w:val="en-GB"/>
              </w:rPr>
              <w:t>Delivery Partners</w:t>
            </w:r>
            <w:r>
              <w:rPr>
                <w:lang w:val="en-GB"/>
              </w:rPr>
              <w:t>:</w:t>
            </w:r>
            <w:r w:rsidR="008E515B">
              <w:rPr>
                <w:lang w:val="en-GB"/>
              </w:rPr>
              <w:t xml:space="preserve"> The Landing and Creative England</w:t>
            </w:r>
            <w:r>
              <w:rPr>
                <w:lang w:val="en-GB"/>
              </w:rPr>
              <w:t>;</w:t>
            </w:r>
            <w:r w:rsidR="008E515B">
              <w:rPr>
                <w:lang w:val="en-GB"/>
              </w:rPr>
              <w:t xml:space="preserve"> as well as wider </w:t>
            </w:r>
            <w:r w:rsidR="002812D4">
              <w:rPr>
                <w:lang w:val="en-GB"/>
              </w:rPr>
              <w:t>s</w:t>
            </w:r>
            <w:r w:rsidR="008E515B">
              <w:rPr>
                <w:lang w:val="en-GB"/>
              </w:rPr>
              <w:t xml:space="preserve">takeholders including </w:t>
            </w:r>
            <w:r w:rsidR="002812D4">
              <w:rPr>
                <w:lang w:val="en-GB"/>
              </w:rPr>
              <w:t>GM companies in</w:t>
            </w:r>
            <w:r w:rsidR="0041064C" w:rsidRPr="00BE0417">
              <w:rPr>
                <w:lang w:val="en-GB"/>
              </w:rPr>
              <w:t xml:space="preserve"> the </w:t>
            </w:r>
            <w:r w:rsidR="008E515B">
              <w:rPr>
                <w:lang w:val="en-GB"/>
              </w:rPr>
              <w:t>DCT</w:t>
            </w:r>
            <w:r w:rsidR="0041064C" w:rsidRPr="00BE0417">
              <w:rPr>
                <w:lang w:val="en-GB"/>
              </w:rPr>
              <w:t xml:space="preserve"> sector</w:t>
            </w:r>
            <w:r w:rsidR="008E515B">
              <w:rPr>
                <w:lang w:val="en-GB"/>
              </w:rPr>
              <w:t>s</w:t>
            </w:r>
            <w:r w:rsidR="0041064C" w:rsidRPr="00BE0417">
              <w:rPr>
                <w:lang w:val="en-GB"/>
              </w:rPr>
              <w:t xml:space="preserve">, </w:t>
            </w:r>
            <w:proofErr w:type="spellStart"/>
            <w:r w:rsidR="008E515B">
              <w:rPr>
                <w:lang w:val="en-GB"/>
              </w:rPr>
              <w:t>TechNorth</w:t>
            </w:r>
            <w:proofErr w:type="spellEnd"/>
            <w:r w:rsidR="008E515B">
              <w:rPr>
                <w:lang w:val="en-GB"/>
              </w:rPr>
              <w:t xml:space="preserve">, Manchester </w:t>
            </w:r>
            <w:r w:rsidR="008E515B">
              <w:rPr>
                <w:lang w:val="en-GB"/>
              </w:rPr>
              <w:lastRenderedPageBreak/>
              <w:t>Digital and The Sharp Project</w:t>
            </w:r>
            <w:r>
              <w:rPr>
                <w:lang w:val="en-GB"/>
              </w:rPr>
              <w:t xml:space="preserve"> and the </w:t>
            </w:r>
            <w:r w:rsidR="008E515B">
              <w:rPr>
                <w:lang w:val="en-GB"/>
              </w:rPr>
              <w:t>10 local authorities</w:t>
            </w:r>
            <w:r>
              <w:rPr>
                <w:lang w:val="en-GB"/>
              </w:rPr>
              <w:t>.</w:t>
            </w:r>
          </w:p>
          <w:p w:rsidR="0009312F" w:rsidRPr="008E515B" w:rsidRDefault="008E515B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>
              <w:rPr>
                <w:lang w:val="en-GB"/>
              </w:rPr>
              <w:t xml:space="preserve">Internal Partners include </w:t>
            </w:r>
            <w:r w:rsidR="0041064C" w:rsidRPr="00BE0417">
              <w:rPr>
                <w:lang w:val="en-GB"/>
              </w:rPr>
              <w:t xml:space="preserve">other BGH teams, </w:t>
            </w:r>
            <w:r>
              <w:rPr>
                <w:lang w:val="en-GB"/>
              </w:rPr>
              <w:t xml:space="preserve">MIDAS, UKTI, </w:t>
            </w:r>
            <w:r w:rsidR="0041064C" w:rsidRPr="00BE0417">
              <w:rPr>
                <w:lang w:val="en-GB"/>
              </w:rPr>
              <w:t>BGH seni</w:t>
            </w:r>
            <w:r>
              <w:rPr>
                <w:lang w:val="en-GB"/>
              </w:rPr>
              <w:t>or management, wider MGC teams.</w:t>
            </w:r>
          </w:p>
          <w:p w:rsidR="004E6426" w:rsidRPr="004C26DD" w:rsidRDefault="0080702F" w:rsidP="004603DC">
            <w:pPr>
              <w:pStyle w:val="ListParagraph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205" w:right="210" w:hanging="426"/>
              <w:rPr>
                <w:lang w:val="en-GB"/>
              </w:rPr>
            </w:pPr>
            <w:r w:rsidRPr="00BE0417">
              <w:rPr>
                <w:lang w:val="en-GB"/>
              </w:rPr>
              <w:t>Support the Digital Growth M</w:t>
            </w:r>
            <w:r w:rsidR="004E6426" w:rsidRPr="00BE0417">
              <w:rPr>
                <w:lang w:val="en-GB"/>
              </w:rPr>
              <w:t>anager in the strategic development of the Digital Growth Service.</w:t>
            </w:r>
          </w:p>
        </w:tc>
      </w:tr>
    </w:tbl>
    <w:p w:rsidR="00A6609A" w:rsidRPr="004603DC" w:rsidRDefault="00A6609A" w:rsidP="00A6609A">
      <w:pPr>
        <w:pStyle w:val="Body"/>
        <w:ind w:right="261"/>
        <w:jc w:val="both"/>
        <w:rPr>
          <w:rFonts w:eastAsia="Calibri"/>
          <w:b/>
          <w:bCs/>
          <w:i/>
          <w:iCs/>
          <w:sz w:val="10"/>
        </w:rPr>
      </w:pPr>
    </w:p>
    <w:tbl>
      <w:tblPr>
        <w:tblW w:w="10349" w:type="dxa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A6609A" w:rsidRPr="00237C6B" w:rsidTr="00E942DE">
        <w:trPr>
          <w:trHeight w:val="180"/>
        </w:trPr>
        <w:tc>
          <w:tcPr>
            <w:tcW w:w="10349" w:type="dxa"/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609A" w:rsidRPr="00237C6B" w:rsidRDefault="00A6609A" w:rsidP="00E942DE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KNOWLEDGE, SKILLS AND EXPERIENCE</w:t>
            </w:r>
          </w:p>
        </w:tc>
      </w:tr>
      <w:tr w:rsidR="00A6609A" w:rsidRPr="00237C6B" w:rsidTr="00E942DE">
        <w:trPr>
          <w:trHeight w:val="2713"/>
        </w:trPr>
        <w:tc>
          <w:tcPr>
            <w:tcW w:w="10349" w:type="dxa"/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A90D3D" w:rsidRPr="00AE6949" w:rsidRDefault="00A90D3D" w:rsidP="00AE6949">
            <w:pPr>
              <w:pStyle w:val="Heading4"/>
              <w:tabs>
                <w:tab w:val="left" w:pos="0"/>
              </w:tabs>
              <w:suppressAutoHyphens/>
              <w:spacing w:before="0"/>
              <w:ind w:hanging="221"/>
              <w:rPr>
                <w:rFonts w:ascii="Arial" w:hAnsi="Arial" w:cs="Arial"/>
                <w:i w:val="0"/>
                <w:color w:val="auto"/>
              </w:rPr>
            </w:pPr>
            <w:r w:rsidRPr="00AE6949">
              <w:rPr>
                <w:rFonts w:ascii="Arial" w:hAnsi="Arial" w:cs="Arial"/>
                <w:i w:val="0"/>
                <w:color w:val="auto"/>
                <w:sz w:val="22"/>
                <w:szCs w:val="22"/>
              </w:rPr>
              <w:t>Essential Skills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>Analytical; with strong applied literacy and numeracy skills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>Excellent verbal, written and interpersonal communication skills, able to explain complex / technical information to business clients at senior level and influence others to take action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overflowPunct w:val="0"/>
              <w:autoSpaceDE w:val="0"/>
              <w:autoSpaceDN w:val="0"/>
              <w:adjustRightInd w:val="0"/>
              <w:ind w:left="205" w:right="261" w:hanging="426"/>
              <w:textAlignment w:val="baseline"/>
            </w:pPr>
            <w:r w:rsidRPr="001133EC">
              <w:t xml:space="preserve">Able to develop effective, professional and productive working relationships; able to demonstrate credibility to business </w:t>
            </w:r>
            <w:r w:rsidR="002812D4">
              <w:t>and stakeholders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 xml:space="preserve">Strong planning, </w:t>
            </w:r>
            <w:proofErr w:type="spellStart"/>
            <w:r w:rsidRPr="001133EC">
              <w:rPr>
                <w:rFonts w:eastAsia="Times New Roman"/>
                <w:bdr w:val="none" w:sz="0" w:space="0" w:color="auto"/>
              </w:rPr>
              <w:t>organisational</w:t>
            </w:r>
            <w:proofErr w:type="spellEnd"/>
            <w:r w:rsidRPr="001133EC">
              <w:rPr>
                <w:rFonts w:eastAsia="Times New Roman"/>
                <w:bdr w:val="none" w:sz="0" w:space="0" w:color="auto"/>
              </w:rPr>
              <w:t xml:space="preserve">, </w:t>
            </w:r>
            <w:proofErr w:type="spellStart"/>
            <w:r w:rsidRPr="001133EC">
              <w:rPr>
                <w:rFonts w:eastAsia="Times New Roman"/>
                <w:bdr w:val="none" w:sz="0" w:space="0" w:color="auto"/>
              </w:rPr>
              <w:t>prioritisation</w:t>
            </w:r>
            <w:proofErr w:type="spellEnd"/>
            <w:r w:rsidRPr="001133EC">
              <w:rPr>
                <w:rFonts w:eastAsia="Times New Roman"/>
                <w:bdr w:val="none" w:sz="0" w:space="0" w:color="auto"/>
              </w:rPr>
              <w:t xml:space="preserve"> and administrative skills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 xml:space="preserve">Well-developed IT skills, including an understanding of </w:t>
            </w:r>
            <w:proofErr w:type="spellStart"/>
            <w:r w:rsidRPr="001133EC">
              <w:rPr>
                <w:rFonts w:eastAsia="Times New Roman"/>
                <w:bdr w:val="none" w:sz="0" w:space="0" w:color="auto"/>
              </w:rPr>
              <w:t>computerised</w:t>
            </w:r>
            <w:proofErr w:type="spellEnd"/>
            <w:r w:rsidRPr="001133EC">
              <w:rPr>
                <w:rFonts w:eastAsia="Times New Roman"/>
                <w:bdr w:val="none" w:sz="0" w:space="0" w:color="auto"/>
              </w:rPr>
              <w:t xml:space="preserve"> management information systems, spreadsheets, diary management, e-mail and CRM databases</w:t>
            </w:r>
          </w:p>
          <w:p w:rsidR="008C2C3A" w:rsidRPr="008C2C3A" w:rsidRDefault="0080702F" w:rsidP="008C2C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280"/>
              </w:tabs>
              <w:ind w:right="261"/>
              <w:rPr>
                <w:u w:val="single"/>
              </w:rPr>
            </w:pPr>
            <w:r w:rsidRPr="004D6AB2">
              <w:t xml:space="preserve"> </w:t>
            </w:r>
          </w:p>
          <w:p w:rsidR="00A90D3D" w:rsidRPr="00AE6949" w:rsidRDefault="00A90D3D" w:rsidP="00AE6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280"/>
              </w:tabs>
              <w:ind w:right="261" w:hanging="221"/>
              <w:rPr>
                <w:rFonts w:ascii="Arial" w:hAnsi="Arial" w:cs="Arial"/>
                <w:b/>
                <w:sz w:val="22"/>
                <w:szCs w:val="22"/>
              </w:rPr>
            </w:pPr>
            <w:r w:rsidRPr="00AE6949">
              <w:rPr>
                <w:rFonts w:ascii="Arial" w:hAnsi="Arial" w:cs="Arial"/>
                <w:b/>
                <w:sz w:val="22"/>
                <w:szCs w:val="22"/>
              </w:rPr>
              <w:t xml:space="preserve">Qualifications / Experience </w:t>
            </w:r>
          </w:p>
          <w:p w:rsidR="003B037F" w:rsidRPr="001133EC" w:rsidRDefault="003B037F" w:rsidP="004603D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left" w:pos="205"/>
              </w:tabs>
              <w:suppressAutoHyphens/>
              <w:ind w:left="205" w:hanging="426"/>
            </w:pPr>
            <w:r w:rsidRPr="001133EC">
              <w:t>Proven track record in motivat</w:t>
            </w:r>
            <w:r w:rsidR="002812D4">
              <w:t>ing/managing professional teams,</w:t>
            </w:r>
            <w:r w:rsidRPr="001133EC">
              <w:t xml:space="preserve"> including appraising, mentoring </w:t>
            </w:r>
            <w:r w:rsidR="002812D4">
              <w:t xml:space="preserve">and </w:t>
            </w:r>
            <w:r w:rsidRPr="001133EC">
              <w:t>coaching to achieve agreed targets</w:t>
            </w:r>
          </w:p>
          <w:p w:rsidR="003B037F" w:rsidRPr="001133EC" w:rsidRDefault="003B037F" w:rsidP="004603D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  <w:tab w:val="left" w:pos="347"/>
              </w:tabs>
              <w:suppressAutoHyphens/>
              <w:ind w:left="205" w:hanging="426"/>
            </w:pPr>
            <w:r w:rsidRPr="001133EC">
              <w:t xml:space="preserve">Proven track record in designing and delivering </w:t>
            </w:r>
            <w:proofErr w:type="spellStart"/>
            <w:r w:rsidRPr="001133EC">
              <w:t>programmes</w:t>
            </w:r>
            <w:proofErr w:type="spellEnd"/>
            <w:r w:rsidRPr="001133EC">
              <w:t xml:space="preserve"> to meet customers’ needs</w:t>
            </w:r>
          </w:p>
          <w:p w:rsidR="003B037F" w:rsidRPr="001133EC" w:rsidRDefault="003B037F" w:rsidP="004603D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  <w:tab w:val="left" w:pos="347"/>
              </w:tabs>
              <w:suppressAutoHyphens/>
              <w:ind w:left="205" w:hanging="426"/>
            </w:pPr>
            <w:r w:rsidRPr="001133EC">
              <w:t xml:space="preserve">Proven track record in providing advice and support </w:t>
            </w:r>
            <w:r>
              <w:t xml:space="preserve">which leads to change within a </w:t>
            </w:r>
            <w:r w:rsidRPr="001133EC">
              <w:t xml:space="preserve">business across a diverse range of </w:t>
            </w:r>
            <w:r>
              <w:t xml:space="preserve">DCT </w:t>
            </w:r>
            <w:r w:rsidRPr="001133EC">
              <w:t>sectors</w:t>
            </w:r>
          </w:p>
          <w:p w:rsidR="003B037F" w:rsidRPr="00684866" w:rsidRDefault="003B037F" w:rsidP="004603D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  <w:tab w:val="left" w:pos="347"/>
              </w:tabs>
              <w:suppressAutoHyphens/>
              <w:ind w:left="205" w:hanging="426"/>
            </w:pPr>
            <w:r w:rsidRPr="001133EC">
              <w:t>Proven track record of lead generation and client management</w:t>
            </w:r>
          </w:p>
          <w:p w:rsidR="00A90D3D" w:rsidRPr="00684866" w:rsidRDefault="00684866" w:rsidP="004603DC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  <w:tab w:val="left" w:pos="347"/>
              </w:tabs>
              <w:ind w:left="205" w:hanging="426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 least degree level </w:t>
            </w:r>
            <w:r w:rsidR="00A90D3D" w:rsidRPr="00A90D3D">
              <w:rPr>
                <w:rFonts w:ascii="Arial" w:hAnsi="Arial" w:cs="Arial"/>
                <w:sz w:val="22"/>
                <w:szCs w:val="22"/>
              </w:rPr>
              <w:t>education, or degree level qualification with a Management body or the relevant business experience to match those</w:t>
            </w:r>
          </w:p>
          <w:p w:rsidR="00684866" w:rsidRPr="00684866" w:rsidRDefault="00684866" w:rsidP="00460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205"/>
                <w:tab w:val="left" w:pos="347"/>
              </w:tabs>
              <w:rPr>
                <w:rFonts w:ascii="Arial" w:hAnsi="Arial" w:cs="Arial"/>
                <w:iCs/>
              </w:rPr>
            </w:pPr>
          </w:p>
          <w:p w:rsidR="00A90D3D" w:rsidRPr="00AE6949" w:rsidRDefault="00A90D3D" w:rsidP="00AE6949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suppressAutoHyphens/>
              <w:ind w:hanging="221"/>
              <w:rPr>
                <w:b/>
              </w:rPr>
            </w:pPr>
            <w:r w:rsidRPr="00AE6949">
              <w:rPr>
                <w:b/>
              </w:rPr>
              <w:t>Knowledge</w:t>
            </w:r>
          </w:p>
          <w:p w:rsidR="00A90D3D" w:rsidRPr="00721E9F" w:rsidRDefault="00A90D3D" w:rsidP="004603DC">
            <w:pPr>
              <w:pStyle w:val="Header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clear" w:pos="4153"/>
                <w:tab w:val="clear" w:pos="8306"/>
                <w:tab w:val="left" w:pos="205"/>
              </w:tabs>
              <w:suppressAutoHyphens/>
              <w:ind w:left="205" w:hanging="426"/>
              <w:rPr>
                <w:u w:val="single"/>
              </w:rPr>
            </w:pPr>
            <w:r w:rsidRPr="00721E9F">
              <w:t>Understanding and experience of using project management techniques</w:t>
            </w:r>
          </w:p>
          <w:p w:rsidR="008C2C3A" w:rsidRPr="001133EC" w:rsidRDefault="008C2C3A" w:rsidP="004603DC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left" w:pos="205"/>
              </w:tabs>
              <w:suppressAutoHyphens/>
              <w:ind w:left="205" w:right="261" w:hanging="426"/>
              <w:rPr>
                <w:rFonts w:eastAsia="Times New Roman"/>
                <w:u w:val="single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 xml:space="preserve">Practical understanding of the current and emerging </w:t>
            </w:r>
            <w:r>
              <w:rPr>
                <w:rFonts w:eastAsia="Times New Roman"/>
                <w:bdr w:val="none" w:sz="0" w:space="0" w:color="auto"/>
              </w:rPr>
              <w:t>DCT</w:t>
            </w:r>
            <w:r w:rsidRPr="001133EC">
              <w:rPr>
                <w:rFonts w:eastAsia="Times New Roman"/>
                <w:bdr w:val="none" w:sz="0" w:space="0" w:color="auto"/>
              </w:rPr>
              <w:t xml:space="preserve"> sectors and their markets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Cs/>
                <w:iCs/>
                <w:bdr w:val="none" w:sz="0" w:space="0" w:color="auto"/>
              </w:rPr>
              <w:t xml:space="preserve">Practical understanding of the drivers and barriers to growth across </w:t>
            </w:r>
            <w:r>
              <w:rPr>
                <w:rFonts w:eastAsia="Times New Roman"/>
                <w:bCs/>
                <w:iCs/>
                <w:bdr w:val="none" w:sz="0" w:space="0" w:color="auto"/>
              </w:rPr>
              <w:t>DCT</w:t>
            </w:r>
            <w:r w:rsidRPr="001133EC">
              <w:rPr>
                <w:rFonts w:eastAsia="Times New Roman"/>
                <w:bCs/>
                <w:iCs/>
                <w:bdr w:val="none" w:sz="0" w:space="0" w:color="auto"/>
              </w:rPr>
              <w:t xml:space="preserve"> sectors </w:t>
            </w:r>
          </w:p>
          <w:p w:rsidR="008C2C3A" w:rsidRPr="001133EC" w:rsidRDefault="008C2C3A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Cs/>
                <w:iCs/>
                <w:bdr w:val="none" w:sz="0" w:space="0" w:color="auto"/>
              </w:rPr>
            </w:pPr>
            <w:r w:rsidRPr="001133EC">
              <w:rPr>
                <w:rFonts w:eastAsia="Times New Roman"/>
                <w:bCs/>
                <w:iCs/>
                <w:bdr w:val="none" w:sz="0" w:space="0" w:color="auto"/>
              </w:rPr>
              <w:t xml:space="preserve">Practical understanding of the current landscape of publicly-funded business support </w:t>
            </w:r>
          </w:p>
          <w:p w:rsidR="00721E9F" w:rsidRPr="00721E9F" w:rsidRDefault="00721E9F" w:rsidP="00AE694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autoSpaceDE w:val="0"/>
              <w:autoSpaceDN w:val="0"/>
              <w:adjustRightInd w:val="0"/>
              <w:ind w:left="205" w:hanging="426"/>
              <w:rPr>
                <w:rFonts w:ascii="Arial" w:hAnsi="Arial" w:cs="Arial"/>
                <w:lang w:eastAsia="en-GB"/>
              </w:rPr>
            </w:pPr>
            <w:r w:rsidRPr="00721E9F">
              <w:rPr>
                <w:rFonts w:ascii="Arial" w:hAnsi="Arial" w:cs="Arial"/>
                <w:sz w:val="22"/>
                <w:szCs w:val="22"/>
                <w:lang w:eastAsia="en-GB"/>
              </w:rPr>
              <w:t xml:space="preserve">Knowledge and understanding of the key national, sub-regional and local </w:t>
            </w:r>
            <w:proofErr w:type="spellStart"/>
            <w:r w:rsidRPr="00721E9F">
              <w:rPr>
                <w:rFonts w:ascii="Arial" w:hAnsi="Arial" w:cs="Arial"/>
                <w:sz w:val="22"/>
                <w:szCs w:val="22"/>
                <w:lang w:eastAsia="en-GB"/>
              </w:rPr>
              <w:t>organisations</w:t>
            </w:r>
            <w:proofErr w:type="spellEnd"/>
            <w:r w:rsidRPr="00721E9F">
              <w:rPr>
                <w:rFonts w:ascii="Arial" w:hAnsi="Arial" w:cs="Arial"/>
                <w:sz w:val="22"/>
                <w:szCs w:val="22"/>
                <w:lang w:eastAsia="en-GB"/>
              </w:rPr>
              <w:t xml:space="preserve"> and their role in supporting economic development and specifically business growth</w:t>
            </w:r>
          </w:p>
          <w:p w:rsidR="00721E9F" w:rsidRDefault="00721E9F" w:rsidP="00AE694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autoSpaceDE w:val="0"/>
              <w:autoSpaceDN w:val="0"/>
              <w:adjustRightInd w:val="0"/>
              <w:ind w:left="205" w:hanging="426"/>
              <w:rPr>
                <w:rFonts w:ascii="Arial" w:hAnsi="Arial" w:cs="Arial"/>
                <w:lang w:eastAsia="en-GB"/>
              </w:rPr>
            </w:pPr>
            <w:r w:rsidRPr="00721E9F">
              <w:rPr>
                <w:rFonts w:ascii="Arial" w:hAnsi="Arial" w:cs="Arial"/>
                <w:sz w:val="22"/>
                <w:szCs w:val="22"/>
                <w:lang w:eastAsia="en-GB"/>
              </w:rPr>
              <w:t>Understanding of customer focused approach of working with businesses to foster engagement and encourage commitment to working towards economic development</w:t>
            </w:r>
          </w:p>
          <w:p w:rsidR="00684866" w:rsidRDefault="00684866" w:rsidP="002568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28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56874" w:rsidRPr="00AE6949" w:rsidRDefault="00256874" w:rsidP="00AE694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8280"/>
              </w:tabs>
              <w:ind w:hanging="221"/>
              <w:rPr>
                <w:rFonts w:ascii="Arial" w:hAnsi="Arial" w:cs="Arial"/>
                <w:b/>
              </w:rPr>
            </w:pPr>
            <w:r w:rsidRPr="00AE6949">
              <w:rPr>
                <w:rFonts w:ascii="Arial" w:hAnsi="Arial" w:cs="Arial"/>
                <w:b/>
                <w:sz w:val="22"/>
                <w:szCs w:val="22"/>
              </w:rPr>
              <w:t>Personal Style</w:t>
            </w:r>
          </w:p>
          <w:p w:rsidR="00684866" w:rsidRPr="001133EC" w:rsidRDefault="00684866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>Self-starting team player, leads by example</w:t>
            </w:r>
          </w:p>
          <w:p w:rsidR="00684866" w:rsidRPr="001133EC" w:rsidRDefault="00684866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right="261" w:hanging="426"/>
              <w:rPr>
                <w:rFonts w:eastAsia="Times New Roman"/>
                <w:bdr w:val="none" w:sz="0" w:space="0" w:color="auto"/>
              </w:rPr>
            </w:pPr>
            <w:r w:rsidRPr="001133EC">
              <w:rPr>
                <w:rFonts w:eastAsia="Times New Roman"/>
                <w:bdr w:val="none" w:sz="0" w:space="0" w:color="auto"/>
              </w:rPr>
              <w:t xml:space="preserve">Able to identify opportunities and to innovative; takes creative approach to problem-solving </w:t>
            </w:r>
          </w:p>
          <w:p w:rsidR="00684866" w:rsidRPr="001133EC" w:rsidRDefault="00684866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overflowPunct w:val="0"/>
              <w:autoSpaceDE w:val="0"/>
              <w:autoSpaceDN w:val="0"/>
              <w:adjustRightInd w:val="0"/>
              <w:ind w:left="205" w:right="261" w:hanging="426"/>
              <w:textAlignment w:val="baseline"/>
            </w:pPr>
            <w:r w:rsidRPr="001133EC">
              <w:t>Reviews own working practices to identify areas for improvement</w:t>
            </w:r>
          </w:p>
          <w:p w:rsidR="00684866" w:rsidRPr="001133EC" w:rsidRDefault="00684866" w:rsidP="00AE694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ind w:left="205" w:hanging="426"/>
              <w:rPr>
                <w:rFonts w:eastAsia="Times New Roman"/>
                <w:bdr w:val="none" w:sz="0" w:space="0" w:color="auto"/>
                <w:lang w:val="en-GB"/>
              </w:rPr>
            </w:pPr>
            <w:r w:rsidRPr="001133EC">
              <w:t>Uses time and other resources efficiently to meet objectives</w:t>
            </w:r>
          </w:p>
          <w:p w:rsidR="0080702F" w:rsidRPr="0009312F" w:rsidRDefault="00684866" w:rsidP="00AE6949">
            <w:pPr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05"/>
              </w:tabs>
              <w:autoSpaceDE w:val="0"/>
              <w:autoSpaceDN w:val="0"/>
              <w:adjustRightInd w:val="0"/>
              <w:ind w:left="205" w:hanging="426"/>
              <w:rPr>
                <w:rFonts w:ascii="Arial" w:hAnsi="Arial" w:cs="Arial"/>
                <w:lang w:eastAsia="en-GB"/>
              </w:rPr>
            </w:pPr>
            <w:proofErr w:type="spellStart"/>
            <w:r w:rsidRPr="00684866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>Deputise</w:t>
            </w:r>
            <w:proofErr w:type="spellEnd"/>
            <w:r w:rsidRPr="00684866">
              <w:rPr>
                <w:rFonts w:ascii="Arial" w:eastAsia="Arial" w:hAnsi="Arial" w:cs="Arial"/>
                <w:color w:val="000000"/>
                <w:sz w:val="22"/>
                <w:szCs w:val="22"/>
                <w:u w:color="000000"/>
              </w:rPr>
              <w:t xml:space="preserve"> for colleagues across the Group where necessary</w:t>
            </w:r>
            <w:r w:rsidRPr="001133EC">
              <w:rPr>
                <w:rFonts w:eastAsia="Times New Roman"/>
                <w:bdr w:val="none" w:sz="0" w:space="0" w:color="auto"/>
                <w:lang w:val="en-GB"/>
              </w:rPr>
              <w:t>.</w:t>
            </w:r>
          </w:p>
        </w:tc>
      </w:tr>
    </w:tbl>
    <w:p w:rsidR="00A6609A" w:rsidRPr="004603DC" w:rsidRDefault="00A6609A" w:rsidP="00A6609A">
      <w:pPr>
        <w:pStyle w:val="Body"/>
        <w:ind w:right="261"/>
        <w:jc w:val="both"/>
        <w:rPr>
          <w:rFonts w:eastAsia="Calibri"/>
          <w:b/>
          <w:bCs/>
          <w:i/>
          <w:iCs/>
          <w:sz w:val="10"/>
        </w:rPr>
      </w:pPr>
    </w:p>
    <w:tbl>
      <w:tblPr>
        <w:tblW w:w="10349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23D67" w:rsidRPr="00237C6B" w:rsidTr="00CB03E3">
        <w:trPr>
          <w:trHeight w:val="180"/>
        </w:trPr>
        <w:tc>
          <w:tcPr>
            <w:tcW w:w="10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D67" w:rsidRPr="00237C6B" w:rsidRDefault="00D23D67" w:rsidP="00CB03E3">
            <w:pPr>
              <w:pStyle w:val="Body"/>
              <w:ind w:right="261"/>
              <w:jc w:val="both"/>
            </w:pPr>
            <w:r w:rsidRPr="00237C6B">
              <w:rPr>
                <w:rFonts w:eastAsia="Calibri"/>
                <w:b/>
                <w:bCs/>
                <w:color w:val="FFFFFF"/>
                <w:u w:color="FFFFFF"/>
              </w:rPr>
              <w:t>CONTEXT</w:t>
            </w:r>
          </w:p>
        </w:tc>
      </w:tr>
      <w:tr w:rsidR="00D23D67" w:rsidRPr="00FF0D19" w:rsidTr="00CB03E3">
        <w:trPr>
          <w:trHeight w:val="180"/>
        </w:trPr>
        <w:tc>
          <w:tcPr>
            <w:tcW w:w="1034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363" w:type="dxa"/>
              <w:bottom w:w="80" w:type="dxa"/>
              <w:right w:w="80" w:type="dxa"/>
            </w:tcMar>
          </w:tcPr>
          <w:p w:rsidR="0036394B" w:rsidRDefault="006020B0" w:rsidP="004603DC">
            <w:pPr>
              <w:pStyle w:val="ListParagraph"/>
              <w:numPr>
                <w:ilvl w:val="0"/>
                <w:numId w:val="25"/>
              </w:numPr>
              <w:ind w:right="261"/>
              <w:rPr>
                <w:szCs w:val="20"/>
              </w:rPr>
            </w:pPr>
            <w:r w:rsidRPr="0036394B">
              <w:rPr>
                <w:iCs/>
                <w:szCs w:val="20"/>
                <w:lang w:val="en-GB"/>
              </w:rPr>
              <w:t xml:space="preserve">Directly supporting the ambition set out in the Greater Manchester Strategy refresh to seize the growth potential </w:t>
            </w:r>
            <w:r w:rsidR="0036394B" w:rsidRPr="0036394B">
              <w:rPr>
                <w:iCs/>
                <w:szCs w:val="20"/>
                <w:lang w:val="en-GB"/>
              </w:rPr>
              <w:t>DCT sectors</w:t>
            </w:r>
            <w:r w:rsidRPr="0036394B">
              <w:rPr>
                <w:iCs/>
                <w:szCs w:val="20"/>
                <w:lang w:val="en-GB"/>
              </w:rPr>
              <w:t xml:space="preserve">. </w:t>
            </w:r>
            <w:r w:rsidR="0036394B" w:rsidRPr="0036394B">
              <w:rPr>
                <w:iCs/>
                <w:szCs w:val="20"/>
                <w:lang w:val="en-GB"/>
              </w:rPr>
              <w:t xml:space="preserve"> </w:t>
            </w:r>
          </w:p>
          <w:p w:rsidR="006020B0" w:rsidRPr="0036394B" w:rsidRDefault="006020B0" w:rsidP="004603DC">
            <w:pPr>
              <w:pStyle w:val="ListParagraph"/>
              <w:numPr>
                <w:ilvl w:val="0"/>
                <w:numId w:val="25"/>
              </w:numPr>
              <w:ind w:right="261"/>
              <w:rPr>
                <w:szCs w:val="20"/>
              </w:rPr>
            </w:pPr>
            <w:r w:rsidRPr="0036394B">
              <w:rPr>
                <w:szCs w:val="20"/>
              </w:rPr>
              <w:t xml:space="preserve">The role requires wide-ranging technical expertise relevant to a variety of </w:t>
            </w:r>
            <w:r w:rsidR="0036394B">
              <w:rPr>
                <w:szCs w:val="20"/>
              </w:rPr>
              <w:t xml:space="preserve">DCT </w:t>
            </w:r>
            <w:r w:rsidRPr="0036394B">
              <w:rPr>
                <w:szCs w:val="20"/>
              </w:rPr>
              <w:t>sectors cover</w:t>
            </w:r>
            <w:r w:rsidR="0036394B">
              <w:rPr>
                <w:szCs w:val="20"/>
              </w:rPr>
              <w:t xml:space="preserve">ing a diverse mix of tech and non tech </w:t>
            </w:r>
            <w:r w:rsidRPr="0036394B">
              <w:rPr>
                <w:szCs w:val="20"/>
              </w:rPr>
              <w:t>solutions.</w:t>
            </w:r>
          </w:p>
          <w:p w:rsidR="00D23D67" w:rsidRPr="006020B0" w:rsidRDefault="006020B0" w:rsidP="004603DC">
            <w:pPr>
              <w:pStyle w:val="ListParagraph"/>
              <w:numPr>
                <w:ilvl w:val="0"/>
                <w:numId w:val="25"/>
              </w:numPr>
              <w:ind w:right="261"/>
              <w:rPr>
                <w:lang w:val="en-GB"/>
              </w:rPr>
            </w:pPr>
            <w:r w:rsidRPr="001133EC">
              <w:rPr>
                <w:szCs w:val="20"/>
              </w:rPr>
              <w:t>It is a fast-paced and changing operating landscape needing continuous development to remain aligned with business need and growth potential.</w:t>
            </w:r>
          </w:p>
        </w:tc>
      </w:tr>
    </w:tbl>
    <w:p w:rsidR="00E942DE" w:rsidRDefault="00D970B7">
      <w:r>
        <w:rPr>
          <w:noProof/>
          <w:bdr w:val="none" w:sz="0" w:space="0" w:color="auto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116205</wp:posOffset>
                </wp:positionV>
                <wp:extent cx="334327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0B7" w:rsidRDefault="00D970B7" w:rsidP="00D970B7">
                            <w:pPr>
                              <w:pStyle w:val="Foot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This post is part-funded by European Regional Development Funds within the 2014-2020 European Structural and Investment Funds Growth </w:t>
                            </w:r>
                            <w:proofErr w:type="spellStart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Programme</w:t>
                            </w:r>
                            <w:proofErr w:type="spellEnd"/>
                          </w:p>
                          <w:p w:rsidR="00D970B7" w:rsidRDefault="00D970B7" w:rsidP="00D970B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6pt;margin-top:9.15pt;width:263.2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" fillcolor="white [3201]" strokeweight=".5pt">
                <v:textbox>
                  <w:txbxContent>
                    <w:p w:rsidR="00D970B7" w:rsidRDefault="00D970B7" w:rsidP="00D970B7">
                      <w:pPr>
                        <w:pStyle w:val="Foot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 xml:space="preserve">This post is part-funded by European Regional Development Funds within the 2014-2020 European Structural and Investment Funds Growth </w:t>
                      </w:r>
                      <w:proofErr w:type="spellStart"/>
                      <w:r>
                        <w:rPr>
                          <w:bCs/>
                          <w:sz w:val="16"/>
                          <w:szCs w:val="16"/>
                        </w:rPr>
                        <w:t>Programme</w:t>
                      </w:r>
                      <w:proofErr w:type="spellEnd"/>
                    </w:p>
                    <w:p w:rsidR="00D970B7" w:rsidRDefault="00D970B7" w:rsidP="00D970B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9275CB">
        <w:rPr>
          <w:noProof/>
          <w:lang w:val="en-GB" w:eastAsia="en-GB"/>
        </w:rPr>
        <w:drawing>
          <wp:inline distT="0" distB="0" distL="0" distR="0">
            <wp:extent cx="3057525" cy="6802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933" cy="68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42DE" w:rsidSect="004C3221">
      <w:headerReference w:type="default" r:id="rId9"/>
      <w:footerReference w:type="default" r:id="rId10"/>
      <w:pgSz w:w="11900" w:h="16840"/>
      <w:pgMar w:top="284" w:right="843" w:bottom="1276" w:left="993" w:header="426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4F" w:rsidRDefault="0056644F">
      <w:r>
        <w:separator/>
      </w:r>
    </w:p>
  </w:endnote>
  <w:endnote w:type="continuationSeparator" w:id="0">
    <w:p w:rsidR="0056644F" w:rsidRDefault="0056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77329"/>
      <w:docPartObj>
        <w:docPartGallery w:val="Page Numbers (Bottom of Page)"/>
        <w:docPartUnique/>
      </w:docPartObj>
    </w:sdtPr>
    <w:sdtEndPr/>
    <w:sdtContent>
      <w:p w:rsidR="00C205DE" w:rsidRDefault="00DD3C53" w:rsidP="00E942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05DE" w:rsidRDefault="00C205DE" w:rsidP="00E94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4F" w:rsidRDefault="0056644F">
      <w:r>
        <w:separator/>
      </w:r>
    </w:p>
  </w:footnote>
  <w:footnote w:type="continuationSeparator" w:id="0">
    <w:p w:rsidR="0056644F" w:rsidRDefault="0056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5DE" w:rsidRDefault="00C205DE" w:rsidP="00E942D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03B"/>
    <w:multiLevelType w:val="hybridMultilevel"/>
    <w:tmpl w:val="6A74491A"/>
    <w:lvl w:ilvl="0" w:tplc="02D60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1E8"/>
    <w:multiLevelType w:val="hybridMultilevel"/>
    <w:tmpl w:val="9AAE9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574F"/>
    <w:multiLevelType w:val="hybridMultilevel"/>
    <w:tmpl w:val="8F5AD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61F2"/>
    <w:multiLevelType w:val="hybridMultilevel"/>
    <w:tmpl w:val="9CDAF2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A66F39"/>
    <w:multiLevelType w:val="hybridMultilevel"/>
    <w:tmpl w:val="2450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1287F"/>
    <w:multiLevelType w:val="hybridMultilevel"/>
    <w:tmpl w:val="B33A6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6C3A9E"/>
    <w:multiLevelType w:val="hybridMultilevel"/>
    <w:tmpl w:val="04B6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E5815"/>
    <w:multiLevelType w:val="hybridMultilevel"/>
    <w:tmpl w:val="DF02E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501C5"/>
    <w:multiLevelType w:val="hybridMultilevel"/>
    <w:tmpl w:val="42CAC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A2481E"/>
    <w:multiLevelType w:val="hybridMultilevel"/>
    <w:tmpl w:val="EB5A7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EC4D8B"/>
    <w:multiLevelType w:val="hybridMultilevel"/>
    <w:tmpl w:val="00C4D5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8E866B9"/>
    <w:multiLevelType w:val="hybridMultilevel"/>
    <w:tmpl w:val="25F0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E6EB0"/>
    <w:multiLevelType w:val="hybridMultilevel"/>
    <w:tmpl w:val="6CD6E6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C6896"/>
    <w:multiLevelType w:val="hybridMultilevel"/>
    <w:tmpl w:val="8BD61040"/>
    <w:lvl w:ilvl="0" w:tplc="E51620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A204CA"/>
    <w:multiLevelType w:val="hybridMultilevel"/>
    <w:tmpl w:val="C23AE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8E07D0"/>
    <w:multiLevelType w:val="hybridMultilevel"/>
    <w:tmpl w:val="DA56C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41BFE"/>
    <w:multiLevelType w:val="hybridMultilevel"/>
    <w:tmpl w:val="87CE87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5195E4C"/>
    <w:multiLevelType w:val="hybridMultilevel"/>
    <w:tmpl w:val="AB12849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59D0410B"/>
    <w:multiLevelType w:val="hybridMultilevel"/>
    <w:tmpl w:val="119034A6"/>
    <w:lvl w:ilvl="0" w:tplc="D87CC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F14D5"/>
    <w:multiLevelType w:val="hybridMultilevel"/>
    <w:tmpl w:val="8440F6CE"/>
    <w:lvl w:ilvl="0" w:tplc="FFFFFFFF">
      <w:start w:val="1"/>
      <w:numFmt w:val="bullet"/>
      <w:lvlText w:val=""/>
      <w:legacy w:legacy="1" w:legacySpace="36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29235AD"/>
    <w:multiLevelType w:val="hybridMultilevel"/>
    <w:tmpl w:val="7DE8D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E651A1"/>
    <w:multiLevelType w:val="hybridMultilevel"/>
    <w:tmpl w:val="A6B28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91D8C"/>
    <w:multiLevelType w:val="hybridMultilevel"/>
    <w:tmpl w:val="7A822ECC"/>
    <w:lvl w:ilvl="0" w:tplc="08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3">
    <w:nsid w:val="7C8C52E2"/>
    <w:multiLevelType w:val="hybridMultilevel"/>
    <w:tmpl w:val="E458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9"/>
  </w:num>
  <w:num w:numId="6">
    <w:abstractNumId w:val="16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6"/>
  </w:num>
  <w:num w:numId="10">
    <w:abstractNumId w:val="17"/>
  </w:num>
  <w:num w:numId="11">
    <w:abstractNumId w:val="2"/>
  </w:num>
  <w:num w:numId="12">
    <w:abstractNumId w:val="11"/>
  </w:num>
  <w:num w:numId="13">
    <w:abstractNumId w:val="21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14"/>
  </w:num>
  <w:num w:numId="19">
    <w:abstractNumId w:val="22"/>
  </w:num>
  <w:num w:numId="20">
    <w:abstractNumId w:val="15"/>
  </w:num>
  <w:num w:numId="21">
    <w:abstractNumId w:val="23"/>
  </w:num>
  <w:num w:numId="22">
    <w:abstractNumId w:val="3"/>
  </w:num>
  <w:num w:numId="23">
    <w:abstractNumId w:val="9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9A"/>
    <w:rsid w:val="0009312F"/>
    <w:rsid w:val="000F6849"/>
    <w:rsid w:val="00106CAF"/>
    <w:rsid w:val="00141700"/>
    <w:rsid w:val="00161EF5"/>
    <w:rsid w:val="00187B25"/>
    <w:rsid w:val="001931B1"/>
    <w:rsid w:val="001A419F"/>
    <w:rsid w:val="001B3DA4"/>
    <w:rsid w:val="001D5CFA"/>
    <w:rsid w:val="001F1419"/>
    <w:rsid w:val="00255766"/>
    <w:rsid w:val="00256874"/>
    <w:rsid w:val="00256B41"/>
    <w:rsid w:val="002812D4"/>
    <w:rsid w:val="00284131"/>
    <w:rsid w:val="002C2988"/>
    <w:rsid w:val="0036394B"/>
    <w:rsid w:val="003B037F"/>
    <w:rsid w:val="003C674C"/>
    <w:rsid w:val="0041064C"/>
    <w:rsid w:val="004603DC"/>
    <w:rsid w:val="00473035"/>
    <w:rsid w:val="004A1986"/>
    <w:rsid w:val="004C26DD"/>
    <w:rsid w:val="004C3221"/>
    <w:rsid w:val="004D6AB2"/>
    <w:rsid w:val="004E0ED8"/>
    <w:rsid w:val="004E6426"/>
    <w:rsid w:val="005262F7"/>
    <w:rsid w:val="005423A1"/>
    <w:rsid w:val="005441F0"/>
    <w:rsid w:val="00555ACA"/>
    <w:rsid w:val="0056644F"/>
    <w:rsid w:val="005F69EA"/>
    <w:rsid w:val="006020B0"/>
    <w:rsid w:val="00607A3E"/>
    <w:rsid w:val="00614648"/>
    <w:rsid w:val="0064222E"/>
    <w:rsid w:val="00684866"/>
    <w:rsid w:val="006D45E0"/>
    <w:rsid w:val="00721E9F"/>
    <w:rsid w:val="00726D87"/>
    <w:rsid w:val="00735B00"/>
    <w:rsid w:val="00762158"/>
    <w:rsid w:val="00790A66"/>
    <w:rsid w:val="007B73AE"/>
    <w:rsid w:val="0080702F"/>
    <w:rsid w:val="00813F03"/>
    <w:rsid w:val="00881435"/>
    <w:rsid w:val="00882C90"/>
    <w:rsid w:val="0088473A"/>
    <w:rsid w:val="00893A70"/>
    <w:rsid w:val="008C2C3A"/>
    <w:rsid w:val="008D624D"/>
    <w:rsid w:val="008E247E"/>
    <w:rsid w:val="008E515B"/>
    <w:rsid w:val="009214F5"/>
    <w:rsid w:val="009275CB"/>
    <w:rsid w:val="00945CAF"/>
    <w:rsid w:val="00990FB8"/>
    <w:rsid w:val="009910DB"/>
    <w:rsid w:val="00993A12"/>
    <w:rsid w:val="009E125F"/>
    <w:rsid w:val="00A500CB"/>
    <w:rsid w:val="00A6609A"/>
    <w:rsid w:val="00A77E6A"/>
    <w:rsid w:val="00A90D3D"/>
    <w:rsid w:val="00A94154"/>
    <w:rsid w:val="00AA3A24"/>
    <w:rsid w:val="00AB1A5F"/>
    <w:rsid w:val="00AD22D0"/>
    <w:rsid w:val="00AE6949"/>
    <w:rsid w:val="00AF2990"/>
    <w:rsid w:val="00AF6982"/>
    <w:rsid w:val="00B04004"/>
    <w:rsid w:val="00B90EB1"/>
    <w:rsid w:val="00BE0417"/>
    <w:rsid w:val="00BE25F6"/>
    <w:rsid w:val="00C17333"/>
    <w:rsid w:val="00C205DE"/>
    <w:rsid w:val="00C6340C"/>
    <w:rsid w:val="00CA192E"/>
    <w:rsid w:val="00CB03E3"/>
    <w:rsid w:val="00CF36DC"/>
    <w:rsid w:val="00D23D67"/>
    <w:rsid w:val="00D265F5"/>
    <w:rsid w:val="00D51C47"/>
    <w:rsid w:val="00D64461"/>
    <w:rsid w:val="00D970B7"/>
    <w:rsid w:val="00DB67EA"/>
    <w:rsid w:val="00DD3C53"/>
    <w:rsid w:val="00DE1DFC"/>
    <w:rsid w:val="00E109F1"/>
    <w:rsid w:val="00E7174D"/>
    <w:rsid w:val="00E751E0"/>
    <w:rsid w:val="00E942DE"/>
    <w:rsid w:val="00EE4FF0"/>
    <w:rsid w:val="00F11AD9"/>
    <w:rsid w:val="00F35E22"/>
    <w:rsid w:val="00F85CAC"/>
    <w:rsid w:val="00FB462B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rsid w:val="00A90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2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90D3D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D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B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A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0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next w:val="Body"/>
    <w:link w:val="Heading3Char"/>
    <w:rsid w:val="00A6609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2"/>
    </w:pPr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0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609A"/>
    <w:rPr>
      <w:rFonts w:ascii="Arial" w:eastAsia="Arial" w:hAnsi="Arial" w:cs="Arial"/>
      <w:b/>
      <w:bCs/>
      <w:color w:val="FFFFFF"/>
      <w:sz w:val="24"/>
      <w:szCs w:val="24"/>
      <w:u w:color="FFFFFF"/>
      <w:bdr w:val="nil"/>
      <w:lang w:val="en-US"/>
    </w:rPr>
  </w:style>
  <w:style w:type="paragraph" w:styleId="Header">
    <w:name w:val="header"/>
    <w:link w:val="HeaderChar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6609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6609A"/>
    <w:rPr>
      <w:rFonts w:ascii="Arial" w:eastAsia="Arial" w:hAnsi="Arial" w:cs="Arial"/>
      <w:color w:val="000000"/>
      <w:u w:color="000000"/>
      <w:bdr w:val="nil"/>
      <w:lang w:val="en-US"/>
    </w:rPr>
  </w:style>
  <w:style w:type="paragraph" w:customStyle="1" w:styleId="Body">
    <w:name w:val="Body"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ListParagraph">
    <w:name w:val="List Paragraph"/>
    <w:uiPriority w:val="34"/>
    <w:qFormat/>
    <w:rsid w:val="00A660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66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rsid w:val="00A90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2"/>
      <w:szCs w:val="20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A90D3D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0D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5CB"/>
    <w:rPr>
      <w:rFonts w:ascii="Tahoma" w:eastAsia="Arial Unicode MS" w:hAnsi="Tahoma" w:cs="Tahoma"/>
      <w:sz w:val="16"/>
      <w:szCs w:val="16"/>
      <w:bdr w:val="nil"/>
      <w:lang w:val="en-US"/>
    </w:rPr>
  </w:style>
  <w:style w:type="table" w:styleId="TableGrid">
    <w:name w:val="Table Grid"/>
    <w:basedOn w:val="TableNormal"/>
    <w:uiPriority w:val="59"/>
    <w:rsid w:val="00A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CF959154</Template>
  <TotalTime>1</TotalTime>
  <Pages>2</Pages>
  <Words>870</Words>
  <Characters>4961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Economic Solutions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Casey, Natalie (Manchester Solutions)</dc:creator>
  <cp:lastModifiedBy>Sloan, Lily (Manchester Growth Company)</cp:lastModifiedBy>
  <cp:revision>2</cp:revision>
  <dcterms:created xsi:type="dcterms:W3CDTF">2015-11-13T10:23:00Z</dcterms:created>
  <dcterms:modified xsi:type="dcterms:W3CDTF">2015-11-13T10:23:00Z</dcterms:modified>
</cp:coreProperties>
</file>